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F53" w14:textId="77777777" w:rsidR="00727387" w:rsidRPr="007B0440" w:rsidRDefault="00727387" w:rsidP="00727387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Rudford and Highleadon Parish Council</w:t>
      </w:r>
    </w:p>
    <w:p w14:paraId="473F5D08" w14:textId="583858E3" w:rsidR="002A7ED3" w:rsidRDefault="000B712C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I hereby give notice that </w:t>
      </w:r>
      <w:r w:rsidR="00BD4F5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an </w:t>
      </w:r>
      <w:r w:rsidR="003246A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ordinary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meeting of Rudford and Highleadon Parish Council will be held in </w:t>
      </w:r>
      <w:r w:rsidR="00986F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Village Hall, Rudford on </w:t>
      </w:r>
      <w:r w:rsidR="00372DCA" w:rsidRPr="00372DC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Monday 1</w:t>
      </w:r>
      <w:r w:rsidR="00173F2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8</w:t>
      </w:r>
      <w:r w:rsidR="00173F2B" w:rsidRPr="00173F2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vertAlign w:val="superscript"/>
        </w:rPr>
        <w:t>th</w:t>
      </w:r>
      <w:r w:rsidR="00173F2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 xml:space="preserve"> May </w:t>
      </w:r>
      <w:r w:rsidR="00D30089" w:rsidRPr="00372DC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2026</w:t>
      </w:r>
      <w:r w:rsidR="00173F2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 xml:space="preserve"> after the Annual Meeting.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Members of the Council are hereby summoned to attend for the purpose of transacting the business as set out below.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07022C16" w14:textId="77777777" w:rsidR="002A7ED3" w:rsidRDefault="002A7ED3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A681E26" w14:textId="4B2CFE34" w:rsidR="00037131" w:rsidRDefault="000B712C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04E1D">
        <w:rPr>
          <w:rFonts w:asciiTheme="minorHAnsi" w:eastAsia="Times New Roman" w:hAnsiTheme="minorHAnsi" w:cstheme="minorHAnsi"/>
          <w:b/>
          <w:bCs/>
          <w:sz w:val="24"/>
          <w:szCs w:val="24"/>
        </w:rPr>
        <w:t>Liz Tustin, Parish Council Clerk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issued </w:t>
      </w:r>
      <w:r w:rsidR="00E54B6B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="00E54B6B" w:rsidRPr="00E54B6B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="00E54B6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May </w:t>
      </w:r>
      <w:r w:rsidR="00D30089">
        <w:rPr>
          <w:rFonts w:asciiTheme="minorHAnsi" w:eastAsia="Times New Roman" w:hAnsiTheme="minorHAnsi" w:cstheme="minorHAnsi"/>
          <w:b/>
          <w:bCs/>
          <w:sz w:val="24"/>
          <w:szCs w:val="24"/>
        </w:rPr>
        <w:t>2026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AB4943" w:rsidRPr="00695A2B"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5BA9CB63" w14:textId="77777777" w:rsidR="00904E1D" w:rsidRPr="00904E1D" w:rsidRDefault="00904E1D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727387" w:rsidRPr="007B0440" w14:paraId="083C8854" w14:textId="77777777" w:rsidTr="008C4B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3B5E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3600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727387" w:rsidRPr="007B0440" w14:paraId="4007D134" w14:textId="77777777" w:rsidTr="008C4B5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B9B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21D6" w14:textId="5A874FFF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record attendance </w:t>
            </w:r>
            <w:r w:rsidRPr="009A5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(anticipated as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Councillors Mark Deane, </w:t>
            </w:r>
            <w:r w:rsidR="00437A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2DF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Jill Deane, </w:t>
            </w:r>
            <w:r w:rsidR="003246A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Amanda Bye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</w:t>
            </w:r>
            <w:r w:rsidR="00AB49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Jonathon Tydeman</w:t>
            </w:r>
            <w:r w:rsidR="0021215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District Councillors Burford and Williams and County Councillor Graham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C14C4F" w:rsidRPr="007B0440" w14:paraId="7C970AFB" w14:textId="77777777" w:rsidTr="008C4B5C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D608" w14:textId="77777777" w:rsidR="00C14C4F" w:rsidRPr="007B0440" w:rsidRDefault="00C14C4F" w:rsidP="00C14C4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BCE3" w14:textId="425A1C25" w:rsidR="00C14C4F" w:rsidRPr="007B0440" w:rsidRDefault="00C14C4F" w:rsidP="00C14C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reasons for absences to be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7387" w:rsidRPr="007B0440" w14:paraId="2607E683" w14:textId="77777777" w:rsidTr="008C4B5C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837" w14:textId="77777777" w:rsidR="00727387" w:rsidRPr="007B0440" w:rsidRDefault="00727387" w:rsidP="00727387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88B9" w14:textId="77777777" w:rsidR="00C14C4F" w:rsidRDefault="00C14C4F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and dispensations</w:t>
            </w:r>
          </w:p>
          <w:p w14:paraId="2B81CFEF" w14:textId="77777777" w:rsidR="00C14C4F" w:rsidRDefault="00727387" w:rsidP="00C14C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EE1BAE"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 </w:t>
            </w: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related to items in the agenda. </w:t>
            </w:r>
          </w:p>
          <w:p w14:paraId="21202837" w14:textId="775DAD34" w:rsidR="00727387" w:rsidRPr="00322F2F" w:rsidRDefault="00C14C4F" w:rsidP="003307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2F2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To receive requests for dispensations for disclosable pecuniary interests </w:t>
            </w:r>
          </w:p>
          <w:p w14:paraId="69B37E79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27387" w:rsidRPr="007B0440" w14:paraId="3EF0E7F1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6A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079" w14:textId="0D76668F" w:rsidR="00727387" w:rsidRPr="00043ADA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approve the minutes of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previous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695440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resolve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that the minutes of the ordinary meeting held on </w:t>
            </w:r>
            <w:r w:rsidR="00372DC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E54B6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E54B6B" w:rsidRPr="00E54B6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="00E54B6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April </w:t>
            </w:r>
            <w:r w:rsidR="009E118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2026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form an accurate record of the event.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95A2B" w:rsidRPr="007B0440" w14:paraId="4EA2FF7E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7B45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C994" w14:textId="042EE6D2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</w:t>
            </w:r>
            <w:r w:rsidRPr="004C36D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4C36D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Members of the public will be invited to address the counci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l. </w:t>
            </w:r>
          </w:p>
        </w:tc>
      </w:tr>
      <w:tr w:rsidR="00B6301E" w:rsidRPr="007B0440" w14:paraId="2457B57F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04BF" w14:textId="77777777" w:rsidR="00B6301E" w:rsidRPr="007B0440" w:rsidRDefault="00B6301E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B93A" w14:textId="192F5F6E" w:rsidR="00B6301E" w:rsidRPr="007B0440" w:rsidRDefault="00B6301E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40F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Co-0ption -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40FB4" w:rsidRPr="00940FB4">
              <w:rPr>
                <w:rFonts w:asciiTheme="minorHAnsi" w:eastAsia="Times New Roman" w:hAnsiTheme="minorHAnsi" w:cs="Arial"/>
                <w:bCs/>
                <w:sz w:val="24"/>
                <w:szCs w:val="24"/>
              </w:rPr>
              <w:t>To receive applications for the office of Parish Councillor and to co-opt a candidate to fill the existing vacancies.</w:t>
            </w:r>
          </w:p>
        </w:tc>
      </w:tr>
      <w:tr w:rsidR="00695A2B" w:rsidRPr="007B0440" w14:paraId="7787BD4C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885" w14:textId="5FF116B0" w:rsidR="00695A2B" w:rsidRPr="00EE3C2F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5B8" w14:textId="5D270D07" w:rsidR="00695A2B" w:rsidRPr="00FC1D09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FC1D0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Planning Applications </w:t>
            </w:r>
          </w:p>
          <w:p w14:paraId="4D720272" w14:textId="14F46BD2" w:rsidR="00971D03" w:rsidRPr="002E0FBF" w:rsidRDefault="00695A2B" w:rsidP="005B6C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E0FB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Received for discussion 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 </w:t>
            </w:r>
            <w:r w:rsidR="00971D03"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Erection of a single storey rear extension, </w:t>
            </w:r>
            <w:r w:rsidR="00971D03" w:rsidRPr="002E0FBF">
              <w:rPr>
                <w:rFonts w:asciiTheme="minorHAnsi" w:eastAsia="Times New Roman" w:hAnsiTheme="minorHAnsi" w:cs="Tahoma"/>
                <w:color w:val="000000"/>
                <w:sz w:val="24"/>
                <w:szCs w:val="24"/>
              </w:rPr>
              <w:t>porch extension and first floor balcony and raising of roof to allow for second floor within roof space and associated works.</w:t>
            </w:r>
            <w:r w:rsidR="00971D03" w:rsidRPr="002E0FBF">
              <w:rPr>
                <w:rFonts w:asciiTheme="minorHAnsi" w:eastAsia="Times New Roman" w:hAnsiTheme="minorHAnsi" w:cs="Tahoma"/>
                <w:color w:val="000000"/>
                <w:sz w:val="24"/>
                <w:szCs w:val="24"/>
              </w:rPr>
              <w:t xml:space="preserve"> Four Winds, Upleadon Road, Highleadon</w:t>
            </w:r>
            <w:r w:rsidR="002E0FBF">
              <w:rPr>
                <w:rFonts w:asciiTheme="minorHAnsi" w:eastAsia="Times New Roman" w:hAnsiTheme="minorHAnsi" w:cs="Tahoma"/>
                <w:color w:val="000000"/>
                <w:sz w:val="24"/>
                <w:szCs w:val="24"/>
              </w:rPr>
              <w:t xml:space="preserve">. </w:t>
            </w:r>
            <w:r w:rsidR="00971D03" w:rsidRPr="002E0FB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46A17369" w14:textId="35878366" w:rsidR="00695A2B" w:rsidRPr="002E0FBF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E0FB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Dealt with between meetings-</w:t>
            </w:r>
            <w:r w:rsidR="00B23033" w:rsidRPr="002E0FB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6301E"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  <w:r w:rsidR="00B6301E" w:rsidRPr="002E0FB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CEE3776" w14:textId="35402254" w:rsidR="005266CA" w:rsidRPr="00971D03" w:rsidRDefault="00695A2B" w:rsidP="002121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71D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Decided </w:t>
            </w:r>
            <w:r w:rsidR="00B23033" w:rsidRPr="00971D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by FoDDC planning </w:t>
            </w:r>
            <w:r w:rsidRPr="00971D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since last meeting</w:t>
            </w:r>
            <w:r w:rsidRPr="00971D0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</w:t>
            </w:r>
            <w:r w:rsidR="00EE3C2F" w:rsidRPr="00971D0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B6301E" w:rsidRPr="00971D03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79DE1695" w14:textId="5CCC1F72" w:rsidR="00695A2B" w:rsidRPr="00971D03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971D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Withdrawn since last meeting – </w:t>
            </w:r>
            <w:r w:rsidRPr="00971D03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70B40276" w14:textId="77777777" w:rsidR="00971D03" w:rsidRDefault="00971D03" w:rsidP="00971D0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B1959E2" w14:textId="673B3F90" w:rsidR="00971D03" w:rsidRPr="002E0FBF" w:rsidRDefault="00971D03" w:rsidP="00971D0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>Bovone</w:t>
            </w:r>
            <w:proofErr w:type="spellEnd"/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Farm, </w:t>
            </w:r>
            <w:proofErr w:type="spellStart"/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>Bovone</w:t>
            </w:r>
            <w:proofErr w:type="spellEnd"/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Lane, Tibberton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- 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>Erection of a free range poultry house and associated infrastructure.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>The above application will be considered by the Development Management Committee at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>their meeting at the Forest of Dean District Council Offices, Coleford at 2.00 pm on</w:t>
            </w:r>
            <w:r w:rsidR="002E0FBF"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2E0FBF">
              <w:rPr>
                <w:rFonts w:asciiTheme="minorHAnsi" w:eastAsia="Times New Roman" w:hAnsiTheme="minorHAnsi" w:cstheme="minorHAnsi"/>
                <w:sz w:val="24"/>
                <w:szCs w:val="24"/>
              </w:rPr>
              <w:t>Tuesday the 12 May 2026.</w:t>
            </w:r>
          </w:p>
          <w:p w14:paraId="6842853F" w14:textId="77777777" w:rsidR="00B6301E" w:rsidRDefault="00B6301E" w:rsidP="00B6301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005392F" w14:textId="78F3EA6B" w:rsidR="00FC1D09" w:rsidRPr="00780886" w:rsidRDefault="00B6301E" w:rsidP="00B6301E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08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Appeals 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>– Planning Appeal 6002462</w:t>
            </w:r>
            <w:r w:rsidR="00FC1D0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/ </w:t>
            </w:r>
            <w:r w:rsidR="00FC1D09" w:rsidRPr="00FC1D09">
              <w:rPr>
                <w:rFonts w:asciiTheme="minorHAnsi" w:eastAsia="Times New Roman" w:hAnsiTheme="minorHAnsi" w:cstheme="minorHAnsi"/>
                <w:sz w:val="24"/>
                <w:szCs w:val="24"/>
              </w:rPr>
              <w:t>AP0028/25/REF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Land at Moat Farm, Newent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application for a 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>solar farm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The appeal hearing took place on 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>29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April 2026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>, with the decision expected to take at least 6 months.</w:t>
            </w:r>
            <w:r w:rsidR="00780886"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F439A7F" w14:textId="77777777" w:rsidR="002F4CCB" w:rsidRPr="00780886" w:rsidRDefault="002F4CCB" w:rsidP="00B6301E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C760D6F" w14:textId="77777777" w:rsidR="00372DCA" w:rsidRDefault="002F4CCB" w:rsidP="00372DCA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>Enforcement Appeal APP/P1615/C/25/3377155</w:t>
            </w:r>
            <w:r w:rsidR="00372DC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/ </w:t>
            </w:r>
            <w:r w:rsidR="00372DCA" w:rsidRPr="00372DCA">
              <w:rPr>
                <w:rFonts w:asciiTheme="minorHAnsi" w:eastAsia="Times New Roman" w:hAnsiTheme="minorHAnsi" w:cstheme="minorHAnsi"/>
                <w:sz w:val="24"/>
                <w:szCs w:val="24"/>
              </w:rPr>
              <w:t>AP0029/25/AENF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Rectory Meadow, Rudford. </w:t>
            </w:r>
            <w:r w:rsidR="00B6301E"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landowner of Rectory Meadows has lodged an appeal against the enforcement notice issued in December 2025. </w:t>
            </w:r>
            <w:r w:rsidR="00372DC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date for the hearing has not be published yet. </w:t>
            </w:r>
          </w:p>
          <w:p w14:paraId="6F902C79" w14:textId="77777777" w:rsidR="00372DCA" w:rsidRDefault="00372DCA" w:rsidP="00372DCA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F0A7BBB" w14:textId="77777777" w:rsidR="0038062D" w:rsidRDefault="00B6301E" w:rsidP="00E54B6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08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Enforcement Issues </w:t>
            </w:r>
            <w:r w:rsidRPr="007808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Council has been invited to a meeting with </w:t>
            </w:r>
            <w:r w:rsidR="00E54B6B" w:rsidRP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>the Joint Unit For Waste Crime (JUWC), a national team that sits within the Environment Agency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They </w:t>
            </w:r>
            <w:r w:rsidR="00E54B6B" w:rsidRP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>are currently looking into the illegal waste site at Land lying to the north of the A40 Over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E54B6B" w:rsidRP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>As a national team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they </w:t>
            </w:r>
            <w:r w:rsidR="00E54B6B" w:rsidRP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>do not carryout investigations into individual site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="00E54B6B" w:rsidRP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but are looking at several sites that are suspected to be linked to the same offenders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54DBEC16" w14:textId="77777777" w:rsidR="009D049E" w:rsidRDefault="009D049E" w:rsidP="00E54B6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DCF5F4C" w14:textId="24E9532F" w:rsidR="009D049E" w:rsidRPr="00EE3C2F" w:rsidRDefault="009D049E" w:rsidP="00E54B6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95A2B" w:rsidRPr="007B0440" w14:paraId="3FB3C754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EE6A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A980" w14:textId="56054B2C" w:rsidR="00695A2B" w:rsidRPr="00796FF3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Finance</w:t>
            </w:r>
          </w:p>
          <w:p w14:paraId="60D2B206" w14:textId="3291EF55" w:rsidR="00695A2B" w:rsidRPr="00796FF3" w:rsidRDefault="00695A2B" w:rsidP="00695A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Council to receive the parish account balance, authorise payments</w:t>
            </w:r>
            <w:r w:rsidR="0021775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note payments made</w:t>
            </w:r>
            <w:r w:rsidR="0021775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and </w:t>
            </w:r>
            <w:r w:rsidR="00957F8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reconciliation</w:t>
            </w:r>
            <w:r w:rsidR="00136B6A"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6826"/>
              <w:gridCol w:w="567"/>
              <w:gridCol w:w="1474"/>
            </w:tblGrid>
            <w:tr w:rsidR="002F489C" w:rsidRPr="00796FF3" w14:paraId="76B8C995" w14:textId="77777777" w:rsidTr="001F47B0">
              <w:tc>
                <w:tcPr>
                  <w:tcW w:w="575" w:type="dxa"/>
                </w:tcPr>
                <w:p w14:paraId="43F5D0BC" w14:textId="60D11AFE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6826" w:type="dxa"/>
                </w:tcPr>
                <w:p w14:paraId="485598D5" w14:textId="57D29187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Statement of Account as at </w:t>
                  </w:r>
                  <w:r w:rsidR="00EC1A9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10</w:t>
                  </w:r>
                  <w:r w:rsidR="00EC1A97" w:rsidRPr="00EC1A97">
                    <w:rPr>
                      <w:rFonts w:asciiTheme="minorHAnsi" w:eastAsia="Times New Roman" w:hAnsiTheme="minorHAnsi" w:cstheme="minorHAnsi"/>
                      <w:sz w:val="24"/>
                      <w:szCs w:val="24"/>
                      <w:vertAlign w:val="superscript"/>
                    </w:rPr>
                    <w:t>th</w:t>
                  </w:r>
                  <w:r w:rsidR="00EC1A9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May </w:t>
                  </w:r>
                  <w:r w:rsidR="00893E47"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2026</w:t>
                  </w:r>
                  <w:r w:rsidR="00095FE4"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</w:t>
                  </w:r>
                  <w:r w:rsidR="00097E92"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67" w:type="dxa"/>
                </w:tcPr>
                <w:p w14:paraId="16D509BC" w14:textId="3747192C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05E3296C" w14:textId="4BEB6F64" w:rsidR="00695A2B" w:rsidRPr="00F93486" w:rsidRDefault="00EC1A97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23,886.88</w:t>
                  </w:r>
                </w:p>
              </w:tc>
            </w:tr>
            <w:tr w:rsidR="002F489C" w:rsidRPr="00212155" w14:paraId="02135971" w14:textId="77777777" w:rsidTr="001F47B0">
              <w:tc>
                <w:tcPr>
                  <w:tcW w:w="575" w:type="dxa"/>
                </w:tcPr>
                <w:p w14:paraId="2A1A3F8F" w14:textId="7043E392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826" w:type="dxa"/>
                </w:tcPr>
                <w:p w14:paraId="4C05101D" w14:textId="341518A9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Grant Applications – Section 137 of Local Government Act 1972</w:t>
                  </w:r>
                </w:p>
              </w:tc>
              <w:tc>
                <w:tcPr>
                  <w:tcW w:w="567" w:type="dxa"/>
                </w:tcPr>
                <w:p w14:paraId="79480717" w14:textId="3FCF2D37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5B450666" w14:textId="36A856CF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2F489C" w:rsidRPr="00212155" w14:paraId="71A3D9F3" w14:textId="77777777" w:rsidTr="001F47B0">
              <w:tc>
                <w:tcPr>
                  <w:tcW w:w="575" w:type="dxa"/>
                </w:tcPr>
                <w:p w14:paraId="41F88D6A" w14:textId="77777777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755F3C5" w14:textId="3A52ED8E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Gift Awarded – Section 139 of Local Government Act 1972</w:t>
                  </w:r>
                </w:p>
              </w:tc>
              <w:tc>
                <w:tcPr>
                  <w:tcW w:w="567" w:type="dxa"/>
                </w:tcPr>
                <w:p w14:paraId="3775CBB8" w14:textId="0A06710C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3D153520" w14:textId="0F5AC658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2F489C" w:rsidRPr="00212155" w14:paraId="1546CCC8" w14:textId="77777777" w:rsidTr="001F47B0">
              <w:tc>
                <w:tcPr>
                  <w:tcW w:w="575" w:type="dxa"/>
                </w:tcPr>
                <w:p w14:paraId="3B5AE41F" w14:textId="5400481A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826" w:type="dxa"/>
                </w:tcPr>
                <w:p w14:paraId="28EE4937" w14:textId="11AE4FC1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Adverse variance to budget</w:t>
                  </w:r>
                </w:p>
              </w:tc>
              <w:tc>
                <w:tcPr>
                  <w:tcW w:w="567" w:type="dxa"/>
                </w:tcPr>
                <w:p w14:paraId="587B8631" w14:textId="342B9993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15D7DD05" w14:textId="0A2EA9B2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None</w:t>
                  </w:r>
                </w:p>
              </w:tc>
            </w:tr>
            <w:tr w:rsidR="002F489C" w:rsidRPr="00212155" w14:paraId="5FE935AF" w14:textId="77777777" w:rsidTr="001F47B0">
              <w:tc>
                <w:tcPr>
                  <w:tcW w:w="575" w:type="dxa"/>
                </w:tcPr>
                <w:p w14:paraId="01FBE26E" w14:textId="63D30E05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826" w:type="dxa"/>
                </w:tcPr>
                <w:p w14:paraId="372A3E93" w14:textId="4F7A7560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received between meetings</w:t>
                  </w:r>
                </w:p>
              </w:tc>
              <w:tc>
                <w:tcPr>
                  <w:tcW w:w="567" w:type="dxa"/>
                </w:tcPr>
                <w:p w14:paraId="6AAF521D" w14:textId="20719D03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62EE02AB" w14:textId="4FD2F991" w:rsidR="00695A2B" w:rsidRPr="00F93486" w:rsidRDefault="00EC1A97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7982.00</w:t>
                  </w:r>
                </w:p>
              </w:tc>
            </w:tr>
            <w:tr w:rsidR="002F489C" w:rsidRPr="00212155" w14:paraId="5B3E37A4" w14:textId="77777777" w:rsidTr="001F47B0">
              <w:tc>
                <w:tcPr>
                  <w:tcW w:w="575" w:type="dxa"/>
                </w:tcPr>
                <w:p w14:paraId="0607D0CE" w14:textId="1F6BEF61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826" w:type="dxa"/>
                </w:tcPr>
                <w:p w14:paraId="74E22289" w14:textId="07A5A4AB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Payments made between meetings </w:t>
                  </w:r>
                </w:p>
              </w:tc>
              <w:tc>
                <w:tcPr>
                  <w:tcW w:w="567" w:type="dxa"/>
                </w:tcPr>
                <w:p w14:paraId="2253C859" w14:textId="77777777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14:paraId="0339CB70" w14:textId="77777777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F489C" w:rsidRPr="00212155" w14:paraId="7786FEF2" w14:textId="77777777" w:rsidTr="001F47B0">
              <w:tc>
                <w:tcPr>
                  <w:tcW w:w="575" w:type="dxa"/>
                </w:tcPr>
                <w:p w14:paraId="40A94C27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9DB3B47" w14:textId="32AF2A95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Bank charges </w:t>
                  </w:r>
                </w:p>
              </w:tc>
              <w:tc>
                <w:tcPr>
                  <w:tcW w:w="567" w:type="dxa"/>
                </w:tcPr>
                <w:p w14:paraId="2A7DD4BB" w14:textId="62A0EF08" w:rsidR="00695A2B" w:rsidRPr="00F93486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3856DDC7" w14:textId="29DDCEE7" w:rsidR="00695A2B" w:rsidRPr="00F93486" w:rsidRDefault="00893E47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F93486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4.25</w:t>
                  </w:r>
                </w:p>
              </w:tc>
            </w:tr>
            <w:tr w:rsidR="002F489C" w:rsidRPr="00212155" w14:paraId="2A03744F" w14:textId="77777777" w:rsidTr="001F47B0">
              <w:tc>
                <w:tcPr>
                  <w:tcW w:w="575" w:type="dxa"/>
                </w:tcPr>
                <w:p w14:paraId="0A04EEC5" w14:textId="77777777" w:rsidR="002F489C" w:rsidRPr="003D6E19" w:rsidRDefault="002F489C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A48B6FB" w14:textId="6359861B" w:rsidR="002F489C" w:rsidRPr="00F93486" w:rsidRDefault="002F489C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Clerk salary and expenses</w:t>
                  </w:r>
                </w:p>
              </w:tc>
              <w:tc>
                <w:tcPr>
                  <w:tcW w:w="567" w:type="dxa"/>
                </w:tcPr>
                <w:p w14:paraId="52A0BCF5" w14:textId="2287D046" w:rsidR="002F489C" w:rsidRPr="00F93486" w:rsidRDefault="002F489C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7047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7B7DF3EB" w14:textId="34F69A07" w:rsidR="002F489C" w:rsidRPr="00F93486" w:rsidRDefault="00EC1A97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255.49</w:t>
                  </w:r>
                </w:p>
              </w:tc>
            </w:tr>
            <w:tr w:rsidR="002F489C" w:rsidRPr="00212155" w14:paraId="217C01D9" w14:textId="77777777" w:rsidTr="001F47B0">
              <w:tc>
                <w:tcPr>
                  <w:tcW w:w="575" w:type="dxa"/>
                </w:tcPr>
                <w:p w14:paraId="00AC3FD4" w14:textId="69BE7195" w:rsidR="002F489C" w:rsidRPr="003D6E19" w:rsidRDefault="002F489C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6B1961B5" w14:textId="70F4E9C7" w:rsidR="002F489C" w:rsidRPr="00883247" w:rsidRDefault="002F489C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567" w:type="dxa"/>
                </w:tcPr>
                <w:p w14:paraId="47C657B6" w14:textId="19B85A25" w:rsidR="002F489C" w:rsidRPr="00883247" w:rsidRDefault="002F489C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1F1FC958" w14:textId="0A215ED7" w:rsidR="002F489C" w:rsidRPr="00883247" w:rsidRDefault="002F489C" w:rsidP="002F489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49.</w:t>
                  </w:r>
                  <w:r w:rsidR="00EC1A9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</w:t>
                  </w: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</w:t>
                  </w:r>
                </w:p>
              </w:tc>
            </w:tr>
            <w:tr w:rsidR="002F489C" w:rsidRPr="00212155" w14:paraId="240CA147" w14:textId="77777777" w:rsidTr="001F47B0">
              <w:tc>
                <w:tcPr>
                  <w:tcW w:w="575" w:type="dxa"/>
                </w:tcPr>
                <w:p w14:paraId="35C850D9" w14:textId="37263CE1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f. </w:t>
                  </w:r>
                </w:p>
              </w:tc>
              <w:tc>
                <w:tcPr>
                  <w:tcW w:w="6826" w:type="dxa"/>
                </w:tcPr>
                <w:p w14:paraId="60D2617B" w14:textId="49070E81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for authorisation</w:t>
                  </w:r>
                </w:p>
              </w:tc>
              <w:tc>
                <w:tcPr>
                  <w:tcW w:w="567" w:type="dxa"/>
                </w:tcPr>
                <w:p w14:paraId="01F2A4EC" w14:textId="77777777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74" w:type="dxa"/>
                </w:tcPr>
                <w:p w14:paraId="54ADA12A" w14:textId="77777777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F489C" w:rsidRPr="00212155" w14:paraId="30741A11" w14:textId="77777777" w:rsidTr="001F47B0">
              <w:tc>
                <w:tcPr>
                  <w:tcW w:w="575" w:type="dxa"/>
                </w:tcPr>
                <w:p w14:paraId="22C14122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6AEC873F" w14:textId="532542A9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Clerk Wages</w:t>
                  </w:r>
                  <w:r w:rsidR="0042316C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, WFH, Expenses, HMRC</w:t>
                  </w: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– </w:t>
                  </w:r>
                  <w:r w:rsidR="00EC1A9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May</w:t>
                  </w:r>
                </w:p>
              </w:tc>
              <w:tc>
                <w:tcPr>
                  <w:tcW w:w="567" w:type="dxa"/>
                </w:tcPr>
                <w:p w14:paraId="0F0D6A2F" w14:textId="67CED6A9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10AF4EF0" w14:textId="6904EC66" w:rsidR="00695A2B" w:rsidRPr="00883247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281.59</w:t>
                  </w:r>
                </w:p>
              </w:tc>
            </w:tr>
            <w:tr w:rsidR="002F489C" w:rsidRPr="00212155" w14:paraId="16D58E02" w14:textId="77777777" w:rsidTr="001F47B0">
              <w:tc>
                <w:tcPr>
                  <w:tcW w:w="575" w:type="dxa"/>
                </w:tcPr>
                <w:p w14:paraId="06EE9CEA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B066A91" w14:textId="70978916" w:rsidR="00695A2B" w:rsidRPr="00883247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GALC – LGR Training</w:t>
                  </w:r>
                </w:p>
              </w:tc>
              <w:tc>
                <w:tcPr>
                  <w:tcW w:w="567" w:type="dxa"/>
                </w:tcPr>
                <w:p w14:paraId="103300F0" w14:textId="2E1D6E40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0FB7BCE0" w14:textId="31B01513" w:rsidR="00695A2B" w:rsidRPr="00883247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137.50</w:t>
                  </w:r>
                </w:p>
              </w:tc>
            </w:tr>
            <w:tr w:rsidR="002F489C" w:rsidRPr="00FA4330" w14:paraId="34656087" w14:textId="77777777" w:rsidTr="001F47B0">
              <w:tc>
                <w:tcPr>
                  <w:tcW w:w="575" w:type="dxa"/>
                </w:tcPr>
                <w:p w14:paraId="2B9C1067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D2E09F9" w14:textId="1822B202" w:rsidR="00695A2B" w:rsidRPr="00883247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GALC – Annual subscription</w:t>
                  </w:r>
                </w:p>
              </w:tc>
              <w:tc>
                <w:tcPr>
                  <w:tcW w:w="567" w:type="dxa"/>
                </w:tcPr>
                <w:p w14:paraId="0A416509" w14:textId="14D8F2CA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09CDBA01" w14:textId="31D76720" w:rsidR="00695A2B" w:rsidRPr="00883247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105.23</w:t>
                  </w:r>
                  <w:r w:rsidR="00A22AD5"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F489C" w:rsidRPr="00FA4330" w14:paraId="09B9AF47" w14:textId="77777777" w:rsidTr="001F47B0">
              <w:tc>
                <w:tcPr>
                  <w:tcW w:w="575" w:type="dxa"/>
                </w:tcPr>
                <w:p w14:paraId="75C9EFC4" w14:textId="77777777" w:rsidR="00695A2B" w:rsidRPr="00FA4330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5F002BA9" w14:textId="1B692549" w:rsidR="00695A2B" w:rsidRPr="00883247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Insurance</w:t>
                  </w:r>
                </w:p>
              </w:tc>
              <w:tc>
                <w:tcPr>
                  <w:tcW w:w="567" w:type="dxa"/>
                </w:tcPr>
                <w:p w14:paraId="2497DD2B" w14:textId="1D874C68" w:rsidR="00695A2B" w:rsidRPr="00883247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883247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474" w:type="dxa"/>
                </w:tcPr>
                <w:p w14:paraId="710C8E3D" w14:textId="0E00FCC8" w:rsidR="00695A2B" w:rsidRPr="00883247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530.48</w:t>
                  </w:r>
                </w:p>
              </w:tc>
            </w:tr>
          </w:tbl>
          <w:p w14:paraId="54E80C0E" w14:textId="77777777" w:rsidR="00695A2B" w:rsidRPr="00FA433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F34D82B" w14:textId="5F364E3D" w:rsidR="00695A2B" w:rsidRPr="00FA433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A4330">
              <w:rPr>
                <w:rFonts w:asciiTheme="minorHAnsi" w:eastAsia="Times New Roman" w:hAnsiTheme="minorHAnsi" w:cstheme="minorHAnsi"/>
                <w:sz w:val="24"/>
                <w:szCs w:val="24"/>
              </w:rPr>
              <w:t>Clerk Expenses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1"/>
              <w:gridCol w:w="2041"/>
            </w:tblGrid>
            <w:tr w:rsidR="00B909FA" w:rsidRPr="00FA4330" w14:paraId="6F787A9F" w14:textId="77777777" w:rsidTr="00AD69F8">
              <w:tc>
                <w:tcPr>
                  <w:tcW w:w="7401" w:type="dxa"/>
                </w:tcPr>
                <w:p w14:paraId="7CF05306" w14:textId="0B9F3256" w:rsidR="00695A2B" w:rsidRPr="00CE7EA0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CE7EA0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Printing </w:t>
                  </w:r>
                  <w:r w:rsidR="003D6E19" w:rsidRPr="00CE7EA0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– Agenda and Minutes</w:t>
                  </w:r>
                  <w:r w:rsidR="0042316C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, RAG assessments </w:t>
                  </w:r>
                  <w:r w:rsidR="003D6E19" w:rsidRPr="00CE7EA0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(</w:t>
                  </w:r>
                  <w:r w:rsidR="00476FAB" w:rsidRPr="00CE7EA0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6 </w:t>
                  </w:r>
                  <w:r w:rsidR="003D6E19" w:rsidRPr="00CE7EA0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pages x 0.10)</w:t>
                  </w:r>
                </w:p>
              </w:tc>
              <w:tc>
                <w:tcPr>
                  <w:tcW w:w="2041" w:type="dxa"/>
                </w:tcPr>
                <w:p w14:paraId="2AADFABA" w14:textId="6F4877DB" w:rsidR="00695A2B" w:rsidRPr="00943A32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1.00</w:t>
                  </w:r>
                </w:p>
              </w:tc>
            </w:tr>
            <w:tr w:rsidR="00B909FA" w:rsidRPr="00B909FA" w14:paraId="287A7C3E" w14:textId="77777777" w:rsidTr="00AD69F8">
              <w:tc>
                <w:tcPr>
                  <w:tcW w:w="7401" w:type="dxa"/>
                </w:tcPr>
                <w:p w14:paraId="0D2591E3" w14:textId="34FD5F5D" w:rsidR="00136B6A" w:rsidRPr="00943A32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943A3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Mileage (</w:t>
                  </w:r>
                  <w:r w:rsidR="0042316C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May </w:t>
                  </w:r>
                  <w:r w:rsidRPr="00943A3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PC meeting</w:t>
                  </w:r>
                  <w:r w:rsidR="0042316C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and LGR training</w:t>
                  </w:r>
                  <w:r w:rsidRPr="00943A3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  <w:r w:rsidR="003D6E19" w:rsidRPr="00943A3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 </w:t>
                  </w:r>
                  <w:r w:rsidR="0042316C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20</w:t>
                  </w:r>
                  <w:r w:rsidR="003D6E19" w:rsidRPr="00943A3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miles x 0.45</w:t>
                  </w:r>
                </w:p>
              </w:tc>
              <w:tc>
                <w:tcPr>
                  <w:tcW w:w="2041" w:type="dxa"/>
                </w:tcPr>
                <w:p w14:paraId="755A68FC" w14:textId="37B132EE" w:rsidR="00136B6A" w:rsidRPr="00943A32" w:rsidRDefault="0042316C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9.00</w:t>
                  </w:r>
                </w:p>
              </w:tc>
            </w:tr>
          </w:tbl>
          <w:p w14:paraId="0B365DA9" w14:textId="517E6F67" w:rsidR="00695A2B" w:rsidRPr="00212155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8A1859" w:rsidRPr="007B0440" w14:paraId="2E9CA7FB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DCD3" w14:textId="77777777" w:rsidR="008A1859" w:rsidRPr="007B0440" w:rsidRDefault="008A1859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3F19" w14:textId="12495AA2" w:rsidR="00A05878" w:rsidRPr="00883247" w:rsidRDefault="008A1859" w:rsidP="00223CF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324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Community Benefit Fund</w:t>
            </w:r>
            <w:r w:rsidRPr="008832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– There is £</w:t>
            </w:r>
            <w:r w:rsidR="00223CFC" w:rsidRPr="008832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883247" w:rsidRPr="008832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4294.44</w:t>
            </w:r>
            <w:r w:rsidR="00223CFC" w:rsidRPr="008832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832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remaining in the fund. </w:t>
            </w:r>
            <w:r w:rsidR="00883247" w:rsidRPr="0088324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</w:t>
            </w:r>
            <w:r w:rsidR="00EC1A9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 fund closes 1 September. </w:t>
            </w:r>
          </w:p>
        </w:tc>
      </w:tr>
      <w:tr w:rsidR="00FF3913" w:rsidRPr="007B0440" w14:paraId="1DDFF4B6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7DEA" w14:textId="77777777" w:rsidR="00FF3913" w:rsidRPr="007B0440" w:rsidRDefault="00FF3913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58F2" w14:textId="6C083768" w:rsidR="00FF3913" w:rsidRDefault="0068492E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8492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Temporary Road Closure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–</w:t>
            </w:r>
            <w:r w:rsidRPr="0068492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849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Council to note the closure of </w:t>
            </w:r>
            <w:r w:rsidRPr="0068492E">
              <w:rPr>
                <w:rFonts w:asciiTheme="minorHAnsi" w:eastAsia="Times New Roman" w:hAnsiTheme="minorHAnsi" w:cstheme="minorHAnsi"/>
                <w:sz w:val="24"/>
                <w:szCs w:val="24"/>
              </w:rPr>
              <w:t>Wedderburn Bridge</w:t>
            </w:r>
            <w:r w:rsidRPr="006849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1</w:t>
            </w:r>
            <w:r w:rsidRPr="0068492E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st</w:t>
            </w:r>
            <w:r w:rsidRPr="006849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2</w:t>
            </w:r>
            <w:r w:rsidRPr="0068492E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nd</w:t>
            </w:r>
            <w:r w:rsidRPr="006849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June 2026. Diversions will be in place.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3913" w:rsidRPr="007B0440" w14:paraId="5E195D6F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4CB2" w14:textId="77777777" w:rsidR="00FF3913" w:rsidRPr="003D6E19" w:rsidRDefault="00FF3913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A87" w14:textId="23AE6C46" w:rsidR="00B6301E" w:rsidRDefault="00FF3913" w:rsidP="00B6301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8062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Next Meeting - </w:t>
            </w:r>
            <w:r w:rsidRPr="0038062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next meeting </w:t>
            </w:r>
            <w:r w:rsidR="0038062D" w:rsidRPr="0038062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is </w:t>
            </w:r>
            <w:r w:rsidRPr="0038062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confirmed as 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>22</w:t>
            </w:r>
            <w:r w:rsidR="00E54B6B" w:rsidRPr="00E54B6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nd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June 2026 at 7pm </w:t>
            </w:r>
            <w:r w:rsidR="00B6301E" w:rsidRPr="00B6301E">
              <w:rPr>
                <w:rFonts w:asciiTheme="minorHAnsi" w:eastAsia="Times New Roman" w:hAnsiTheme="minorHAnsi" w:cstheme="minorHAnsi"/>
                <w:sz w:val="24"/>
                <w:szCs w:val="24"/>
              </w:rPr>
              <w:t>in Rudford Village Hall</w:t>
            </w:r>
            <w:r w:rsidR="00E54B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6A12FA58" w14:textId="77777777" w:rsidR="000A7CE2" w:rsidRPr="00B6301E" w:rsidRDefault="000A7CE2" w:rsidP="00B6301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63DEF3E" w14:textId="77777777" w:rsidR="000A7CE2" w:rsidRDefault="000A7CE2" w:rsidP="000A7C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Upcoming meetings </w:t>
            </w:r>
          </w:p>
          <w:p w14:paraId="62222679" w14:textId="77777777" w:rsidR="00B6301E" w:rsidRPr="00B6301E" w:rsidRDefault="00B6301E" w:rsidP="00B6301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630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September – to be arranged – parish council meeting </w:t>
            </w:r>
          </w:p>
          <w:p w14:paraId="2E9D257A" w14:textId="77777777" w:rsidR="00B6301E" w:rsidRPr="00B6301E" w:rsidRDefault="00B6301E" w:rsidP="00B6301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630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November – to be arranged - parish council meeting for budget review </w:t>
            </w:r>
          </w:p>
          <w:p w14:paraId="4B3013F0" w14:textId="1E26C816" w:rsidR="00B6301E" w:rsidRPr="00B6301E" w:rsidRDefault="00B6301E" w:rsidP="00B6301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630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January </w:t>
            </w:r>
            <w:r w:rsidR="000A7CE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27 </w:t>
            </w:r>
            <w:r w:rsidRPr="00B630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to be arranged – parish council meeting for budget approval and Precept request </w:t>
            </w:r>
          </w:p>
          <w:p w14:paraId="72EF36E1" w14:textId="50D6C524" w:rsidR="00B6301E" w:rsidRPr="00B6301E" w:rsidRDefault="00B6301E" w:rsidP="000A7C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B630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February 27 – to be arranged – parish council meeting </w:t>
            </w:r>
          </w:p>
        </w:tc>
      </w:tr>
      <w:tr w:rsidR="00695A2B" w:rsidRPr="007B0440" w14:paraId="55AF54F5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4CDD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9B51" w14:textId="58D9AEF8" w:rsidR="00695A2B" w:rsidRPr="00322F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Items Raised by Members for Future Agend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B33EA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</w:p>
        </w:tc>
      </w:tr>
      <w:tr w:rsidR="00695A2B" w:rsidRPr="007B0440" w14:paraId="0CA3D84F" w14:textId="77777777" w:rsidTr="008C4B5C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505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11B" w14:textId="77777777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</w:p>
        </w:tc>
      </w:tr>
    </w:tbl>
    <w:p w14:paraId="0E24BC9E" w14:textId="03578D89" w:rsidR="00827AB4" w:rsidRDefault="00827AB4" w:rsidP="00157B03"/>
    <w:p w14:paraId="318D5278" w14:textId="77777777" w:rsidR="00900957" w:rsidRDefault="00900957" w:rsidP="00157B03"/>
    <w:p w14:paraId="70E1DFDC" w14:textId="77777777" w:rsidR="00900957" w:rsidRDefault="00900957" w:rsidP="00157B03"/>
    <w:p w14:paraId="112E10C6" w14:textId="77777777" w:rsidR="00900957" w:rsidRDefault="00900957" w:rsidP="00157B03"/>
    <w:p w14:paraId="318FE639" w14:textId="77777777" w:rsidR="00900957" w:rsidRDefault="00900957" w:rsidP="00157B03"/>
    <w:sectPr w:rsidR="00900957" w:rsidSect="0085355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17F9" w14:textId="77777777" w:rsidR="000F3AE7" w:rsidRDefault="000F3AE7" w:rsidP="003D6E19">
      <w:pPr>
        <w:spacing w:after="0" w:line="240" w:lineRule="auto"/>
      </w:pPr>
      <w:r>
        <w:separator/>
      </w:r>
    </w:p>
  </w:endnote>
  <w:endnote w:type="continuationSeparator" w:id="0">
    <w:p w14:paraId="7FEF507A" w14:textId="77777777" w:rsidR="000F3AE7" w:rsidRDefault="000F3AE7" w:rsidP="003D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83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F4C03" w14:textId="51AC87B7" w:rsidR="00957F85" w:rsidRDefault="00957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D398B" w14:textId="77777777" w:rsidR="003D6E19" w:rsidRDefault="003D6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92CE" w14:textId="77777777" w:rsidR="000F3AE7" w:rsidRDefault="000F3AE7" w:rsidP="003D6E19">
      <w:pPr>
        <w:spacing w:after="0" w:line="240" w:lineRule="auto"/>
      </w:pPr>
      <w:r>
        <w:separator/>
      </w:r>
    </w:p>
  </w:footnote>
  <w:footnote w:type="continuationSeparator" w:id="0">
    <w:p w14:paraId="53BF518A" w14:textId="77777777" w:rsidR="000F3AE7" w:rsidRDefault="000F3AE7" w:rsidP="003D6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CDE"/>
    <w:multiLevelType w:val="hybridMultilevel"/>
    <w:tmpl w:val="86E6BE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F8B"/>
    <w:multiLevelType w:val="hybridMultilevel"/>
    <w:tmpl w:val="B8A89F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23CD"/>
    <w:multiLevelType w:val="hybridMultilevel"/>
    <w:tmpl w:val="B3AA1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72AA6"/>
    <w:multiLevelType w:val="hybridMultilevel"/>
    <w:tmpl w:val="E84081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35524"/>
    <w:multiLevelType w:val="hybridMultilevel"/>
    <w:tmpl w:val="E6F01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5B7D"/>
    <w:multiLevelType w:val="multilevel"/>
    <w:tmpl w:val="572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67F31"/>
    <w:multiLevelType w:val="hybridMultilevel"/>
    <w:tmpl w:val="AD74D94C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0" w15:restartNumberingAfterBreak="0">
    <w:nsid w:val="562925BB"/>
    <w:multiLevelType w:val="hybridMultilevel"/>
    <w:tmpl w:val="3D4CFE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32ED0"/>
    <w:multiLevelType w:val="hybridMultilevel"/>
    <w:tmpl w:val="EF6A393A"/>
    <w:lvl w:ilvl="0" w:tplc="C86EB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C5AF4"/>
    <w:multiLevelType w:val="hybridMultilevel"/>
    <w:tmpl w:val="2898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778E7"/>
    <w:multiLevelType w:val="hybridMultilevel"/>
    <w:tmpl w:val="16F882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0305"/>
    <w:multiLevelType w:val="hybridMultilevel"/>
    <w:tmpl w:val="B8A8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8386">
    <w:abstractNumId w:val="6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6"/>
    <w:lvlOverride w:ilvl="0">
      <w:lvl w:ilvl="0">
        <w:numFmt w:val="lowerLetter"/>
        <w:lvlText w:val="%1."/>
        <w:lvlJc w:val="left"/>
      </w:lvl>
    </w:lvlOverride>
  </w:num>
  <w:num w:numId="3" w16cid:durableId="802112299">
    <w:abstractNumId w:val="8"/>
    <w:lvlOverride w:ilvl="0">
      <w:lvl w:ilvl="0">
        <w:numFmt w:val="lowerLetter"/>
        <w:lvlText w:val="%1."/>
        <w:lvlJc w:val="left"/>
      </w:lvl>
    </w:lvlOverride>
  </w:num>
  <w:num w:numId="4" w16cid:durableId="2116824088">
    <w:abstractNumId w:val="8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631209037">
    <w:abstractNumId w:val="7"/>
  </w:num>
  <w:num w:numId="6" w16cid:durableId="419914253">
    <w:abstractNumId w:val="1"/>
  </w:num>
  <w:num w:numId="7" w16cid:durableId="1141459470">
    <w:abstractNumId w:val="4"/>
  </w:num>
  <w:num w:numId="8" w16cid:durableId="493298965">
    <w:abstractNumId w:val="12"/>
  </w:num>
  <w:num w:numId="9" w16cid:durableId="1222597430">
    <w:abstractNumId w:val="11"/>
  </w:num>
  <w:num w:numId="10" w16cid:durableId="1354922247">
    <w:abstractNumId w:val="10"/>
  </w:num>
  <w:num w:numId="11" w16cid:durableId="1085997451">
    <w:abstractNumId w:val="13"/>
  </w:num>
  <w:num w:numId="12" w16cid:durableId="76176045">
    <w:abstractNumId w:val="14"/>
  </w:num>
  <w:num w:numId="13" w16cid:durableId="460611912">
    <w:abstractNumId w:val="2"/>
  </w:num>
  <w:num w:numId="14" w16cid:durableId="2141069983">
    <w:abstractNumId w:val="5"/>
  </w:num>
  <w:num w:numId="15" w16cid:durableId="289359091">
    <w:abstractNumId w:val="9"/>
  </w:num>
  <w:num w:numId="16" w16cid:durableId="945162291">
    <w:abstractNumId w:val="0"/>
  </w:num>
  <w:num w:numId="17" w16cid:durableId="2096584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0019FF"/>
    <w:rsid w:val="00015E9F"/>
    <w:rsid w:val="00023C95"/>
    <w:rsid w:val="00037131"/>
    <w:rsid w:val="000431A1"/>
    <w:rsid w:val="000452EF"/>
    <w:rsid w:val="00045757"/>
    <w:rsid w:val="00062750"/>
    <w:rsid w:val="00067E3F"/>
    <w:rsid w:val="00083553"/>
    <w:rsid w:val="00092756"/>
    <w:rsid w:val="00095FE4"/>
    <w:rsid w:val="00097E92"/>
    <w:rsid w:val="000A7CE2"/>
    <w:rsid w:val="000B712C"/>
    <w:rsid w:val="000D3445"/>
    <w:rsid w:val="000E18B6"/>
    <w:rsid w:val="000E6C9E"/>
    <w:rsid w:val="000F3AE7"/>
    <w:rsid w:val="000F679A"/>
    <w:rsid w:val="000F6B31"/>
    <w:rsid w:val="00106E34"/>
    <w:rsid w:val="00120FB0"/>
    <w:rsid w:val="00121003"/>
    <w:rsid w:val="00136B6A"/>
    <w:rsid w:val="00142C5B"/>
    <w:rsid w:val="00144452"/>
    <w:rsid w:val="00157B03"/>
    <w:rsid w:val="00170711"/>
    <w:rsid w:val="00173F2B"/>
    <w:rsid w:val="0018520F"/>
    <w:rsid w:val="001A287F"/>
    <w:rsid w:val="001B0A31"/>
    <w:rsid w:val="001B0CF9"/>
    <w:rsid w:val="001E09E7"/>
    <w:rsid w:val="001F3BEC"/>
    <w:rsid w:val="001F47B0"/>
    <w:rsid w:val="002038FD"/>
    <w:rsid w:val="0021090B"/>
    <w:rsid w:val="00211FC8"/>
    <w:rsid w:val="00212155"/>
    <w:rsid w:val="00215A73"/>
    <w:rsid w:val="00217757"/>
    <w:rsid w:val="002211FD"/>
    <w:rsid w:val="002219EE"/>
    <w:rsid w:val="0022227F"/>
    <w:rsid w:val="00223CFC"/>
    <w:rsid w:val="002258B2"/>
    <w:rsid w:val="00231442"/>
    <w:rsid w:val="00244CED"/>
    <w:rsid w:val="002668AE"/>
    <w:rsid w:val="002942A0"/>
    <w:rsid w:val="00294E74"/>
    <w:rsid w:val="00295C53"/>
    <w:rsid w:val="002A26F0"/>
    <w:rsid w:val="002A56B7"/>
    <w:rsid w:val="002A7ED3"/>
    <w:rsid w:val="002C54EE"/>
    <w:rsid w:val="002C7A0C"/>
    <w:rsid w:val="002D3AA6"/>
    <w:rsid w:val="002E0FBF"/>
    <w:rsid w:val="002E63D8"/>
    <w:rsid w:val="002F489C"/>
    <w:rsid w:val="002F4CCB"/>
    <w:rsid w:val="00301C20"/>
    <w:rsid w:val="00304CC7"/>
    <w:rsid w:val="0030642E"/>
    <w:rsid w:val="00311635"/>
    <w:rsid w:val="00314B77"/>
    <w:rsid w:val="00317304"/>
    <w:rsid w:val="00317EFE"/>
    <w:rsid w:val="003212F4"/>
    <w:rsid w:val="00322F2F"/>
    <w:rsid w:val="003246A8"/>
    <w:rsid w:val="00342878"/>
    <w:rsid w:val="00372DCA"/>
    <w:rsid w:val="0038062D"/>
    <w:rsid w:val="003817FC"/>
    <w:rsid w:val="00392894"/>
    <w:rsid w:val="003955A2"/>
    <w:rsid w:val="003B359E"/>
    <w:rsid w:val="003C5032"/>
    <w:rsid w:val="003D5807"/>
    <w:rsid w:val="003D6E19"/>
    <w:rsid w:val="003E1B66"/>
    <w:rsid w:val="004149B1"/>
    <w:rsid w:val="0041526C"/>
    <w:rsid w:val="00421950"/>
    <w:rsid w:val="00421C6B"/>
    <w:rsid w:val="0042316C"/>
    <w:rsid w:val="00425385"/>
    <w:rsid w:val="00434FF1"/>
    <w:rsid w:val="00437AEB"/>
    <w:rsid w:val="004470AA"/>
    <w:rsid w:val="004476FC"/>
    <w:rsid w:val="00453FEA"/>
    <w:rsid w:val="00457500"/>
    <w:rsid w:val="00476FAB"/>
    <w:rsid w:val="00485D07"/>
    <w:rsid w:val="00497AB7"/>
    <w:rsid w:val="004A4CAC"/>
    <w:rsid w:val="004B1DB3"/>
    <w:rsid w:val="004B705C"/>
    <w:rsid w:val="004B72D2"/>
    <w:rsid w:val="004C1A52"/>
    <w:rsid w:val="004C36D8"/>
    <w:rsid w:val="004D3B81"/>
    <w:rsid w:val="004E6009"/>
    <w:rsid w:val="005109B3"/>
    <w:rsid w:val="00510FE3"/>
    <w:rsid w:val="005266CA"/>
    <w:rsid w:val="00530280"/>
    <w:rsid w:val="0054405A"/>
    <w:rsid w:val="00572839"/>
    <w:rsid w:val="00580A0F"/>
    <w:rsid w:val="005A054A"/>
    <w:rsid w:val="005E5541"/>
    <w:rsid w:val="0060604D"/>
    <w:rsid w:val="00612423"/>
    <w:rsid w:val="006241CE"/>
    <w:rsid w:val="00643D56"/>
    <w:rsid w:val="0064568E"/>
    <w:rsid w:val="00657992"/>
    <w:rsid w:val="006679A6"/>
    <w:rsid w:val="00675431"/>
    <w:rsid w:val="006773C2"/>
    <w:rsid w:val="006830CB"/>
    <w:rsid w:val="0068492E"/>
    <w:rsid w:val="00695440"/>
    <w:rsid w:val="00695A2B"/>
    <w:rsid w:val="006966F7"/>
    <w:rsid w:val="006A57F3"/>
    <w:rsid w:val="006D57D4"/>
    <w:rsid w:val="006E445B"/>
    <w:rsid w:val="006F39F3"/>
    <w:rsid w:val="006F42D1"/>
    <w:rsid w:val="0070131B"/>
    <w:rsid w:val="00727387"/>
    <w:rsid w:val="007359BF"/>
    <w:rsid w:val="00756482"/>
    <w:rsid w:val="00780886"/>
    <w:rsid w:val="00786EA6"/>
    <w:rsid w:val="00792571"/>
    <w:rsid w:val="00794629"/>
    <w:rsid w:val="00796FF3"/>
    <w:rsid w:val="007A5047"/>
    <w:rsid w:val="007C0A2B"/>
    <w:rsid w:val="007D2EC0"/>
    <w:rsid w:val="007E2623"/>
    <w:rsid w:val="007E74E5"/>
    <w:rsid w:val="007F2A01"/>
    <w:rsid w:val="00800392"/>
    <w:rsid w:val="0081486D"/>
    <w:rsid w:val="00821485"/>
    <w:rsid w:val="00827AB4"/>
    <w:rsid w:val="00834E77"/>
    <w:rsid w:val="008417E2"/>
    <w:rsid w:val="0085332B"/>
    <w:rsid w:val="00853554"/>
    <w:rsid w:val="00861621"/>
    <w:rsid w:val="008627F4"/>
    <w:rsid w:val="00866692"/>
    <w:rsid w:val="0087162F"/>
    <w:rsid w:val="00876B59"/>
    <w:rsid w:val="00877236"/>
    <w:rsid w:val="00877AF6"/>
    <w:rsid w:val="00883247"/>
    <w:rsid w:val="00885FB9"/>
    <w:rsid w:val="008863B3"/>
    <w:rsid w:val="008934CF"/>
    <w:rsid w:val="00893E47"/>
    <w:rsid w:val="008A1859"/>
    <w:rsid w:val="008A28A6"/>
    <w:rsid w:val="008C7618"/>
    <w:rsid w:val="008C7AA6"/>
    <w:rsid w:val="008D6D83"/>
    <w:rsid w:val="008E2447"/>
    <w:rsid w:val="008F4691"/>
    <w:rsid w:val="008F6F47"/>
    <w:rsid w:val="00900957"/>
    <w:rsid w:val="00904E1D"/>
    <w:rsid w:val="009061C2"/>
    <w:rsid w:val="0090727B"/>
    <w:rsid w:val="00913173"/>
    <w:rsid w:val="00913B41"/>
    <w:rsid w:val="00927E34"/>
    <w:rsid w:val="00927E54"/>
    <w:rsid w:val="00932D0B"/>
    <w:rsid w:val="009378DA"/>
    <w:rsid w:val="00940FB4"/>
    <w:rsid w:val="00942E79"/>
    <w:rsid w:val="00943A32"/>
    <w:rsid w:val="00957F85"/>
    <w:rsid w:val="00962B47"/>
    <w:rsid w:val="00971D03"/>
    <w:rsid w:val="00984B2F"/>
    <w:rsid w:val="00986FDC"/>
    <w:rsid w:val="00994D98"/>
    <w:rsid w:val="009A497D"/>
    <w:rsid w:val="009B01C2"/>
    <w:rsid w:val="009B34BC"/>
    <w:rsid w:val="009C3526"/>
    <w:rsid w:val="009C74B4"/>
    <w:rsid w:val="009D049E"/>
    <w:rsid w:val="009D1742"/>
    <w:rsid w:val="009E1187"/>
    <w:rsid w:val="009F3A07"/>
    <w:rsid w:val="00A05878"/>
    <w:rsid w:val="00A22AD5"/>
    <w:rsid w:val="00A25B83"/>
    <w:rsid w:val="00A31D56"/>
    <w:rsid w:val="00A459E4"/>
    <w:rsid w:val="00A56987"/>
    <w:rsid w:val="00A648FA"/>
    <w:rsid w:val="00A72F5A"/>
    <w:rsid w:val="00A95CDE"/>
    <w:rsid w:val="00AB4943"/>
    <w:rsid w:val="00AC04C9"/>
    <w:rsid w:val="00AD1FB0"/>
    <w:rsid w:val="00AD69F8"/>
    <w:rsid w:val="00AE029C"/>
    <w:rsid w:val="00AE7200"/>
    <w:rsid w:val="00AE7FAE"/>
    <w:rsid w:val="00AF1A79"/>
    <w:rsid w:val="00B13BEA"/>
    <w:rsid w:val="00B23033"/>
    <w:rsid w:val="00B336CD"/>
    <w:rsid w:val="00B33EAF"/>
    <w:rsid w:val="00B37176"/>
    <w:rsid w:val="00B42887"/>
    <w:rsid w:val="00B6301E"/>
    <w:rsid w:val="00B64A5B"/>
    <w:rsid w:val="00B664E4"/>
    <w:rsid w:val="00B909FA"/>
    <w:rsid w:val="00BA2427"/>
    <w:rsid w:val="00BA4059"/>
    <w:rsid w:val="00BA6215"/>
    <w:rsid w:val="00BD48DE"/>
    <w:rsid w:val="00BD4F53"/>
    <w:rsid w:val="00C02DF5"/>
    <w:rsid w:val="00C122D8"/>
    <w:rsid w:val="00C14C4F"/>
    <w:rsid w:val="00C2709C"/>
    <w:rsid w:val="00C30117"/>
    <w:rsid w:val="00C32260"/>
    <w:rsid w:val="00C331C9"/>
    <w:rsid w:val="00C47EC4"/>
    <w:rsid w:val="00C52F9A"/>
    <w:rsid w:val="00C56685"/>
    <w:rsid w:val="00C72F2D"/>
    <w:rsid w:val="00CA07F1"/>
    <w:rsid w:val="00CA1B42"/>
    <w:rsid w:val="00CA5D74"/>
    <w:rsid w:val="00CB514D"/>
    <w:rsid w:val="00CD40FF"/>
    <w:rsid w:val="00CD5E70"/>
    <w:rsid w:val="00CE7EA0"/>
    <w:rsid w:val="00CF3BC9"/>
    <w:rsid w:val="00D021D7"/>
    <w:rsid w:val="00D17683"/>
    <w:rsid w:val="00D2501E"/>
    <w:rsid w:val="00D30089"/>
    <w:rsid w:val="00D300F9"/>
    <w:rsid w:val="00D47E82"/>
    <w:rsid w:val="00D50F69"/>
    <w:rsid w:val="00D52A10"/>
    <w:rsid w:val="00D5701A"/>
    <w:rsid w:val="00D7060B"/>
    <w:rsid w:val="00D779AA"/>
    <w:rsid w:val="00D90831"/>
    <w:rsid w:val="00D93516"/>
    <w:rsid w:val="00DA31E6"/>
    <w:rsid w:val="00DA5AD1"/>
    <w:rsid w:val="00DB05CA"/>
    <w:rsid w:val="00DB43E7"/>
    <w:rsid w:val="00DC362D"/>
    <w:rsid w:val="00DC4598"/>
    <w:rsid w:val="00DD0CF3"/>
    <w:rsid w:val="00DF4055"/>
    <w:rsid w:val="00E31A5A"/>
    <w:rsid w:val="00E3397B"/>
    <w:rsid w:val="00E4352D"/>
    <w:rsid w:val="00E54B6B"/>
    <w:rsid w:val="00E625BE"/>
    <w:rsid w:val="00E726DB"/>
    <w:rsid w:val="00E80CB3"/>
    <w:rsid w:val="00E90428"/>
    <w:rsid w:val="00EB00E6"/>
    <w:rsid w:val="00EC1A97"/>
    <w:rsid w:val="00EC42E2"/>
    <w:rsid w:val="00EE06B1"/>
    <w:rsid w:val="00EE1BAE"/>
    <w:rsid w:val="00EE3C2F"/>
    <w:rsid w:val="00EF1DF2"/>
    <w:rsid w:val="00EF66C2"/>
    <w:rsid w:val="00F03876"/>
    <w:rsid w:val="00F2343A"/>
    <w:rsid w:val="00F30005"/>
    <w:rsid w:val="00F35554"/>
    <w:rsid w:val="00F36364"/>
    <w:rsid w:val="00F43EA4"/>
    <w:rsid w:val="00F658A8"/>
    <w:rsid w:val="00F75CB7"/>
    <w:rsid w:val="00F80FF6"/>
    <w:rsid w:val="00F93486"/>
    <w:rsid w:val="00F97E5F"/>
    <w:rsid w:val="00FA4330"/>
    <w:rsid w:val="00FA6945"/>
    <w:rsid w:val="00FB7345"/>
    <w:rsid w:val="00FC0883"/>
    <w:rsid w:val="00FC1914"/>
    <w:rsid w:val="00FC1D09"/>
    <w:rsid w:val="00FC20F6"/>
    <w:rsid w:val="00FC4C92"/>
    <w:rsid w:val="00FD6742"/>
    <w:rsid w:val="00FD6DE7"/>
    <w:rsid w:val="00FE41DA"/>
    <w:rsid w:val="00FE46CD"/>
    <w:rsid w:val="00FF3913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2A89"/>
  <w15:chartTrackingRefBased/>
  <w15:docId w15:val="{E600D5D8-2F87-E64B-93CF-F2AB1D1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0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1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19"/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19"/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Liz Tustin</cp:lastModifiedBy>
  <cp:revision>8</cp:revision>
  <cp:lastPrinted>2025-10-27T09:46:00Z</cp:lastPrinted>
  <dcterms:created xsi:type="dcterms:W3CDTF">2026-05-10T09:06:00Z</dcterms:created>
  <dcterms:modified xsi:type="dcterms:W3CDTF">2026-05-11T08:21:00Z</dcterms:modified>
</cp:coreProperties>
</file>